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459FC" w14:textId="290BDA62" w:rsidR="00826EFE" w:rsidRDefault="00826EFE" w:rsidP="00826EFE">
      <w:pPr>
        <w:jc w:val="center"/>
        <w:rPr>
          <w:noProof/>
        </w:rPr>
      </w:pPr>
      <w:bookmarkStart w:id="0" w:name="_Hlk39760406"/>
      <w:r w:rsidRPr="005C04A3">
        <w:rPr>
          <w:noProof/>
        </w:rPr>
        <w:drawing>
          <wp:inline distT="0" distB="0" distL="0" distR="0" wp14:anchorId="0491BEE0" wp14:editId="0B752B54">
            <wp:extent cx="628650" cy="676275"/>
            <wp:effectExtent l="0" t="0" r="0" b="9525"/>
            <wp:docPr id="1" name="Picture 1" descr="C:\Users\inita\Desktop\Gerbo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ita\Desktop\Gerboni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14:paraId="4D0D04BE" w14:textId="77777777" w:rsidR="00826EFE" w:rsidRPr="001E58ED" w:rsidRDefault="00826EFE" w:rsidP="00826EFE">
      <w:pPr>
        <w:pBdr>
          <w:bottom w:val="single" w:sz="12" w:space="1" w:color="auto"/>
        </w:pBdr>
        <w:jc w:val="center"/>
        <w:rPr>
          <w:b/>
          <w:sz w:val="32"/>
          <w:szCs w:val="32"/>
        </w:rPr>
      </w:pPr>
      <w:r w:rsidRPr="001E58ED">
        <w:rPr>
          <w:b/>
          <w:sz w:val="32"/>
          <w:szCs w:val="32"/>
        </w:rPr>
        <w:t>SALACGRĪVAS NOVADA DOME</w:t>
      </w:r>
    </w:p>
    <w:p w14:paraId="077BD1F5" w14:textId="77777777" w:rsidR="00826EFE" w:rsidRPr="00BC1B6D" w:rsidRDefault="00826EFE" w:rsidP="00826EFE">
      <w:pPr>
        <w:jc w:val="center"/>
        <w:rPr>
          <w:sz w:val="22"/>
          <w:szCs w:val="22"/>
        </w:rPr>
      </w:pPr>
      <w:r w:rsidRPr="00BC1B6D">
        <w:rPr>
          <w:sz w:val="22"/>
          <w:szCs w:val="22"/>
        </w:rPr>
        <w:t xml:space="preserve">Reģ. Nr. 90000059796, Smilšu iela 9, Salacgrīva, Salacgrīvas novads, LV-4033 </w:t>
      </w:r>
    </w:p>
    <w:p w14:paraId="34324AD1" w14:textId="77777777" w:rsidR="00826EFE" w:rsidRPr="00826EFE" w:rsidRDefault="00826EFE" w:rsidP="00826EFE">
      <w:pPr>
        <w:jc w:val="center"/>
        <w:rPr>
          <w:color w:val="000000" w:themeColor="text1"/>
          <w:sz w:val="22"/>
          <w:szCs w:val="22"/>
        </w:rPr>
      </w:pPr>
      <w:r w:rsidRPr="00BC1B6D">
        <w:rPr>
          <w:sz w:val="22"/>
          <w:szCs w:val="22"/>
        </w:rPr>
        <w:t xml:space="preserve">Tālrunis 64071973, </w:t>
      </w:r>
      <w:r w:rsidRPr="00BC1B6D">
        <w:rPr>
          <w:i/>
          <w:sz w:val="22"/>
          <w:szCs w:val="22"/>
        </w:rPr>
        <w:t>e</w:t>
      </w:r>
      <w:r w:rsidRPr="00BC1B6D">
        <w:rPr>
          <w:sz w:val="22"/>
          <w:szCs w:val="22"/>
        </w:rPr>
        <w:t xml:space="preserve">-pasts </w:t>
      </w:r>
      <w:hyperlink r:id="rId7" w:history="1">
        <w:r w:rsidRPr="00826EFE">
          <w:rPr>
            <w:rStyle w:val="Hyperlink"/>
            <w:color w:val="000000" w:themeColor="text1"/>
            <w:sz w:val="22"/>
            <w:szCs w:val="22"/>
            <w:u w:val="none"/>
          </w:rPr>
          <w:t>dome@salacgriva.lv</w:t>
        </w:r>
      </w:hyperlink>
    </w:p>
    <w:p w14:paraId="086D1137" w14:textId="2D125743" w:rsidR="00826EFE" w:rsidRDefault="00826EFE" w:rsidP="00826EFE">
      <w:pPr>
        <w:rPr>
          <w:sz w:val="32"/>
          <w:szCs w:val="32"/>
        </w:rPr>
      </w:pPr>
    </w:p>
    <w:p w14:paraId="5CA08AC4" w14:textId="77777777" w:rsidR="00826EFE" w:rsidRPr="00826EFE" w:rsidRDefault="00826EFE" w:rsidP="00826EFE">
      <w:pPr>
        <w:jc w:val="center"/>
        <w:rPr>
          <w:sz w:val="24"/>
          <w:szCs w:val="24"/>
        </w:rPr>
      </w:pPr>
      <w:r w:rsidRPr="00826EFE">
        <w:rPr>
          <w:sz w:val="24"/>
          <w:szCs w:val="24"/>
        </w:rPr>
        <w:t>Salacgrīvas novada Salacgrīvā</w:t>
      </w:r>
    </w:p>
    <w:p w14:paraId="33AA8014" w14:textId="2E5B69EF" w:rsidR="00826EFE" w:rsidRDefault="00826EFE" w:rsidP="00826EFE">
      <w:pPr>
        <w:rPr>
          <w:sz w:val="32"/>
          <w:szCs w:val="32"/>
        </w:rPr>
      </w:pPr>
    </w:p>
    <w:p w14:paraId="03FBBDAF" w14:textId="77777777" w:rsidR="00826EFE" w:rsidRPr="00382BEA" w:rsidRDefault="00826EFE" w:rsidP="00826EFE">
      <w:pPr>
        <w:rPr>
          <w:sz w:val="32"/>
          <w:szCs w:val="32"/>
        </w:rPr>
      </w:pPr>
    </w:p>
    <w:bookmarkEnd w:id="0"/>
    <w:p w14:paraId="266E29DF" w14:textId="12971AF9" w:rsidR="00826EFE" w:rsidRPr="00563B27" w:rsidRDefault="00A52617" w:rsidP="00826EFE">
      <w:pPr>
        <w:rPr>
          <w:sz w:val="24"/>
          <w:szCs w:val="24"/>
        </w:rPr>
      </w:pPr>
      <w:r>
        <w:rPr>
          <w:sz w:val="24"/>
          <w:szCs w:val="24"/>
        </w:rPr>
        <w:t>11.06.2020</w:t>
      </w:r>
      <w:r w:rsidR="00826EFE" w:rsidRPr="00563B27">
        <w:rPr>
          <w:sz w:val="24"/>
          <w:szCs w:val="24"/>
        </w:rPr>
        <w:t>. Nr.</w:t>
      </w:r>
      <w:r w:rsidR="00EE1E4D">
        <w:rPr>
          <w:sz w:val="24"/>
          <w:szCs w:val="24"/>
        </w:rPr>
        <w:t xml:space="preserve"> </w:t>
      </w:r>
      <w:r w:rsidR="001D7B0F">
        <w:rPr>
          <w:sz w:val="24"/>
          <w:szCs w:val="24"/>
        </w:rPr>
        <w:t>3.11</w:t>
      </w:r>
      <w:r w:rsidR="005A04E3">
        <w:rPr>
          <w:sz w:val="24"/>
          <w:szCs w:val="24"/>
        </w:rPr>
        <w:t xml:space="preserve"> /</w:t>
      </w:r>
      <w:r w:rsidR="001D7B0F">
        <w:rPr>
          <w:sz w:val="24"/>
          <w:szCs w:val="24"/>
        </w:rPr>
        <w:t>703</w:t>
      </w:r>
      <w:r w:rsidR="005A04E3">
        <w:rPr>
          <w:sz w:val="24"/>
          <w:szCs w:val="24"/>
        </w:rPr>
        <w:t xml:space="preserve"> </w:t>
      </w:r>
    </w:p>
    <w:p w14:paraId="6B4921E8" w14:textId="77777777" w:rsidR="00826EFE" w:rsidRPr="00A13A7C" w:rsidRDefault="00826EFE" w:rsidP="00826EFE">
      <w:pPr>
        <w:rPr>
          <w:b/>
          <w:bCs/>
          <w:sz w:val="24"/>
          <w:szCs w:val="24"/>
        </w:rPr>
      </w:pPr>
    </w:p>
    <w:p w14:paraId="008FE270" w14:textId="622E3093" w:rsidR="00826EFE" w:rsidRDefault="005A04E3" w:rsidP="00FC4E8B">
      <w:pPr>
        <w:jc w:val="right"/>
        <w:rPr>
          <w:sz w:val="24"/>
          <w:szCs w:val="24"/>
        </w:rPr>
      </w:pPr>
      <w:r w:rsidRPr="00A13A7C">
        <w:rPr>
          <w:b/>
          <w:bCs/>
          <w:sz w:val="24"/>
          <w:szCs w:val="24"/>
        </w:rPr>
        <w:tab/>
      </w:r>
      <w:r w:rsidRPr="00A13A7C">
        <w:rPr>
          <w:b/>
          <w:bCs/>
          <w:sz w:val="24"/>
          <w:szCs w:val="24"/>
        </w:rPr>
        <w:tab/>
      </w:r>
      <w:r w:rsidRPr="00A13A7C">
        <w:rPr>
          <w:b/>
          <w:bCs/>
          <w:sz w:val="24"/>
          <w:szCs w:val="24"/>
        </w:rPr>
        <w:tab/>
      </w:r>
      <w:r w:rsidR="001D7B0F">
        <w:rPr>
          <w:b/>
          <w:bCs/>
          <w:sz w:val="24"/>
          <w:szCs w:val="24"/>
        </w:rPr>
        <w:t>Vides aizsardzības un reģionālās attīstības ministrija</w:t>
      </w:r>
    </w:p>
    <w:p w14:paraId="41F7FA69" w14:textId="210A5ECE" w:rsidR="005A04E3" w:rsidRDefault="005A04E3" w:rsidP="00FC4E8B">
      <w:pPr>
        <w:jc w:val="right"/>
        <w:rPr>
          <w:sz w:val="24"/>
          <w:szCs w:val="24"/>
        </w:rPr>
      </w:pPr>
      <w:r>
        <w:rPr>
          <w:sz w:val="24"/>
          <w:szCs w:val="24"/>
        </w:rPr>
        <w:tab/>
      </w:r>
      <w:r>
        <w:rPr>
          <w:sz w:val="24"/>
          <w:szCs w:val="24"/>
        </w:rPr>
        <w:tab/>
      </w:r>
      <w:r>
        <w:rPr>
          <w:sz w:val="24"/>
          <w:szCs w:val="24"/>
        </w:rPr>
        <w:tab/>
      </w:r>
      <w:r w:rsidR="001D7B0F">
        <w:rPr>
          <w:sz w:val="24"/>
          <w:szCs w:val="24"/>
        </w:rPr>
        <w:t>Peldu iela 25, Rīga, LV-1494</w:t>
      </w:r>
    </w:p>
    <w:p w14:paraId="366377CE" w14:textId="25E3D1CA" w:rsidR="005A04E3" w:rsidRPr="00826EFE" w:rsidRDefault="005A04E3" w:rsidP="00FC4E8B">
      <w:pPr>
        <w:jc w:val="right"/>
        <w:rPr>
          <w:sz w:val="24"/>
          <w:szCs w:val="24"/>
        </w:rPr>
      </w:pPr>
      <w:r>
        <w:rPr>
          <w:sz w:val="24"/>
          <w:szCs w:val="24"/>
        </w:rPr>
        <w:tab/>
      </w:r>
      <w:r>
        <w:rPr>
          <w:sz w:val="24"/>
          <w:szCs w:val="24"/>
        </w:rPr>
        <w:tab/>
      </w:r>
      <w:r>
        <w:rPr>
          <w:sz w:val="24"/>
          <w:szCs w:val="24"/>
        </w:rPr>
        <w:tab/>
      </w:r>
      <w:r w:rsidR="001D7B0F">
        <w:rPr>
          <w:sz w:val="24"/>
          <w:szCs w:val="24"/>
        </w:rPr>
        <w:t>pasts@varam.gov.lv</w:t>
      </w:r>
    </w:p>
    <w:p w14:paraId="2AEE81C9" w14:textId="77777777" w:rsidR="00826EFE" w:rsidRPr="00826EFE" w:rsidRDefault="00826EFE" w:rsidP="00826EFE">
      <w:pPr>
        <w:rPr>
          <w:sz w:val="24"/>
          <w:szCs w:val="24"/>
        </w:rPr>
      </w:pPr>
    </w:p>
    <w:p w14:paraId="1AF5BE1C" w14:textId="77777777" w:rsidR="00826EFE" w:rsidRPr="00826EFE" w:rsidRDefault="00826EFE" w:rsidP="00826EFE">
      <w:pPr>
        <w:rPr>
          <w:sz w:val="24"/>
          <w:szCs w:val="24"/>
        </w:rPr>
      </w:pPr>
    </w:p>
    <w:p w14:paraId="7A5A23AE" w14:textId="77777777" w:rsidR="007C6C59" w:rsidRPr="007C6C59" w:rsidRDefault="007C6C59" w:rsidP="007C6C59">
      <w:pPr>
        <w:jc w:val="both"/>
        <w:rPr>
          <w:b/>
          <w:bCs/>
          <w:i/>
          <w:sz w:val="24"/>
          <w:szCs w:val="24"/>
        </w:rPr>
      </w:pPr>
      <w:r w:rsidRPr="007C6C59">
        <w:rPr>
          <w:b/>
          <w:bCs/>
          <w:i/>
          <w:sz w:val="24"/>
          <w:szCs w:val="24"/>
        </w:rPr>
        <w:t>Atklātā vēstule</w:t>
      </w:r>
    </w:p>
    <w:p w14:paraId="6F17B4E8" w14:textId="77777777" w:rsidR="007C6C59" w:rsidRPr="007C6C59" w:rsidRDefault="007C6C59" w:rsidP="007C6C59">
      <w:pPr>
        <w:jc w:val="both"/>
        <w:rPr>
          <w:b/>
          <w:bCs/>
          <w:i/>
          <w:sz w:val="24"/>
          <w:szCs w:val="24"/>
        </w:rPr>
      </w:pPr>
      <w:r w:rsidRPr="007C6C59">
        <w:rPr>
          <w:b/>
          <w:bCs/>
          <w:i/>
          <w:sz w:val="24"/>
          <w:szCs w:val="24"/>
        </w:rPr>
        <w:t xml:space="preserve">Vides aizsardzības un reģionālās attīstības ministram J.Pūcem </w:t>
      </w:r>
    </w:p>
    <w:p w14:paraId="7B841B4B" w14:textId="77777777" w:rsidR="007C6C59" w:rsidRPr="007C6C59" w:rsidRDefault="007C6C59" w:rsidP="007C6C59">
      <w:pPr>
        <w:jc w:val="both"/>
        <w:rPr>
          <w:b/>
          <w:bCs/>
          <w:i/>
          <w:sz w:val="24"/>
          <w:szCs w:val="24"/>
        </w:rPr>
      </w:pPr>
      <w:r w:rsidRPr="007C6C59">
        <w:rPr>
          <w:b/>
          <w:bCs/>
          <w:i/>
          <w:sz w:val="24"/>
          <w:szCs w:val="24"/>
        </w:rPr>
        <w:t>Par rīkojuma Nr. 15-2/4906 atcelšanu</w:t>
      </w:r>
    </w:p>
    <w:p w14:paraId="4F68FF6A" w14:textId="77777777" w:rsidR="00826EFE" w:rsidRPr="007C6C59" w:rsidRDefault="00826EFE" w:rsidP="00826EFE">
      <w:pPr>
        <w:rPr>
          <w:b/>
          <w:bCs/>
          <w:sz w:val="24"/>
          <w:szCs w:val="24"/>
        </w:rPr>
      </w:pPr>
    </w:p>
    <w:p w14:paraId="4C84B992" w14:textId="77777777" w:rsidR="007C6C59" w:rsidRDefault="007C6C59" w:rsidP="007C6C59">
      <w:pPr>
        <w:jc w:val="both"/>
        <w:rPr>
          <w:i/>
          <w:sz w:val="24"/>
          <w:szCs w:val="24"/>
        </w:rPr>
      </w:pPr>
    </w:p>
    <w:p w14:paraId="1ACFE2C5" w14:textId="77777777" w:rsidR="007C6C59" w:rsidRDefault="007C6C59" w:rsidP="007C6C59">
      <w:pPr>
        <w:spacing w:line="276" w:lineRule="auto"/>
        <w:jc w:val="both"/>
        <w:rPr>
          <w:bCs/>
          <w:sz w:val="24"/>
          <w:szCs w:val="24"/>
        </w:rPr>
      </w:pPr>
      <w:r>
        <w:rPr>
          <w:bCs/>
          <w:sz w:val="24"/>
          <w:szCs w:val="24"/>
        </w:rPr>
        <w:tab/>
        <w:t xml:space="preserve">Salacgrīvas novada dome aicina Vides aizsardzības un reģionālās attīstības ministru J.Pūci atcelt savu 2020.gada 1.jūnija rīkojumu Nr. 15-2/4906 „Par Salacgrīvas novada domes 2020. gada 19. februāra saistošo noteikumu Nr. 4 "Salacgrīvas novada teritorijas plānojuma līdz 2030. gadam teritorijas izmantošanas un apbūves noteikumi un grafiskā daļa" darbības apturēšanu”. </w:t>
      </w:r>
    </w:p>
    <w:p w14:paraId="343B530B" w14:textId="77777777" w:rsidR="007C6C59" w:rsidRDefault="007C6C59" w:rsidP="007C6C59">
      <w:pPr>
        <w:spacing w:line="276" w:lineRule="auto"/>
        <w:ind w:firstLine="720"/>
        <w:jc w:val="both"/>
        <w:rPr>
          <w:bCs/>
          <w:sz w:val="24"/>
          <w:szCs w:val="24"/>
        </w:rPr>
      </w:pPr>
      <w:r>
        <w:rPr>
          <w:bCs/>
          <w:sz w:val="24"/>
          <w:szCs w:val="24"/>
        </w:rPr>
        <w:t xml:space="preserve">Pēc rīkojuma satura izvērtēšanas pašvaldība kopā ar konsultantiem ir secinājusi, ka liela daļa rīkojumā norādīto pārkāpumu ir nebūtiski.  Ministram ir iespēja izvēlēties konstatētajiem trūkumiem samērīgu rīcības modeli, izrādot vēlēšanos sadarboties ar pašvaldībām teritorijas plānojumu izstrādes laikā radušos trūkumu novēršanā. Tā vietā lai kopīgi strādātu pie teritorijas attīstības plānošanas, šajā procesā nodrošinot atbalstu pašvaldībām, Salacgrīvas novada gadījumā atbildīgā ministrija izvēlējusies skaļu saukļu un pārsteidzīgu paziņojumu izplatīšanas ceļu. Salacgrīvas novada dome uzskata, ka, izdodams rīkojumu par teritorijas plānojuma darbības apturēšanu, ministrs apzināti rīkojies nesamērīgi ar mērķi nomelnot pašvaldību. </w:t>
      </w:r>
    </w:p>
    <w:p w14:paraId="62ED9EAB" w14:textId="77777777" w:rsidR="007C6C59" w:rsidRDefault="007C6C59" w:rsidP="007C6C59">
      <w:pPr>
        <w:spacing w:line="276" w:lineRule="auto"/>
        <w:ind w:firstLine="720"/>
        <w:jc w:val="both"/>
        <w:rPr>
          <w:bCs/>
          <w:sz w:val="24"/>
          <w:szCs w:val="24"/>
        </w:rPr>
      </w:pPr>
      <w:r>
        <w:rPr>
          <w:bCs/>
          <w:sz w:val="24"/>
          <w:szCs w:val="24"/>
        </w:rPr>
        <w:t xml:space="preserve">Lai arī Salacgrīvas novada pašvaldība ir vērsta uz sadarbību, vienmēr atvērta diskusijām un aktīvi sadarbojas ar valsts institūcijām problēmsituāciju risināšanā, šis gadījums ir klajš pierādījums paša ministra vēlmei izmantot katru iespēju, lai nomelnotu pašvaldības un faktiski kavētu teritoriju attīstību. </w:t>
      </w:r>
    </w:p>
    <w:p w14:paraId="50ECDF83" w14:textId="77777777" w:rsidR="007C6C59" w:rsidRDefault="007C6C59" w:rsidP="007C6C59">
      <w:pPr>
        <w:spacing w:line="276" w:lineRule="auto"/>
        <w:ind w:firstLine="720"/>
        <w:jc w:val="both"/>
        <w:rPr>
          <w:bCs/>
          <w:sz w:val="24"/>
          <w:szCs w:val="24"/>
        </w:rPr>
      </w:pPr>
      <w:r>
        <w:rPr>
          <w:bCs/>
          <w:sz w:val="24"/>
          <w:szCs w:val="24"/>
        </w:rPr>
        <w:t xml:space="preserve">Ņemot vērā augstāk minēto, Salacgrīvas novada dome aicina Vides aizsardzības un reģionālās attīstības ministru atcelt izdoto rīkojumu, pierādot, ka ministrs ir spējīgs atlikt malā savu personīgo nepatiku pret Salacgrīvas novada vadību un konstruktīvi sadarboties teritoriju attīstības plānošanā. </w:t>
      </w:r>
    </w:p>
    <w:p w14:paraId="2A4772D1" w14:textId="77777777" w:rsidR="007C6C59" w:rsidRDefault="007C6C59" w:rsidP="007C6C59">
      <w:pPr>
        <w:spacing w:line="276" w:lineRule="auto"/>
        <w:ind w:firstLine="567"/>
        <w:jc w:val="both"/>
        <w:rPr>
          <w:bCs/>
          <w:sz w:val="24"/>
          <w:szCs w:val="24"/>
        </w:rPr>
      </w:pPr>
      <w:r>
        <w:rPr>
          <w:bCs/>
          <w:sz w:val="24"/>
          <w:szCs w:val="24"/>
        </w:rPr>
        <w:t xml:space="preserve">Lai nodrošinātu maksimāli lietderīgu valsts un pašvaldības resursu izmantošanu (un tiesas procesa uzsākšana pašvaldības ieskatā var nesniegt ātrāko situācijas atrisinājumu), Salacgrīvas novada dome ir gatava iesaistīties sarunās ar VARAM, lai rastu kopsaucēju teritorijas plānojuma patieso trūkumu novēršanā. Neraugoties uz pašvaldības kritisko skatījumu uz rīkojuma saturisko pusi un nevienlīdzīgo attieksmi no ministrijas puses, Salacgrīvas novada dome aicina atcelt </w:t>
      </w:r>
      <w:r>
        <w:rPr>
          <w:bCs/>
          <w:sz w:val="24"/>
          <w:szCs w:val="24"/>
        </w:rPr>
        <w:lastRenderedPageBreak/>
        <w:t>rīkojumu</w:t>
      </w:r>
      <w:r>
        <w:rPr>
          <w:i/>
          <w:sz w:val="24"/>
          <w:szCs w:val="24"/>
        </w:rPr>
        <w:t xml:space="preserve"> Nr. 15-2/4906. </w:t>
      </w:r>
      <w:r>
        <w:rPr>
          <w:iCs/>
          <w:sz w:val="24"/>
          <w:szCs w:val="24"/>
        </w:rPr>
        <w:t>Tajā pat laikā</w:t>
      </w:r>
      <w:r>
        <w:rPr>
          <w:i/>
          <w:sz w:val="24"/>
          <w:szCs w:val="24"/>
        </w:rPr>
        <w:t xml:space="preserve"> </w:t>
      </w:r>
      <w:r>
        <w:rPr>
          <w:bCs/>
          <w:sz w:val="24"/>
          <w:szCs w:val="24"/>
        </w:rPr>
        <w:t xml:space="preserve"> pašvaldība turpina meklēt piemērotāko rīcības scenāriju, kas ļautu pieņemt labāko lēmumu teritorijas plānojuma turpmākajā virzībā, lai nodrošinātu, ka ir ņemtas vērā un vislabākajā iespējamā veidā pārstāvētas pašvaldības iedzīvotāju intereses.</w:t>
      </w:r>
    </w:p>
    <w:p w14:paraId="120C87AE" w14:textId="77777777" w:rsidR="007C6C59" w:rsidRDefault="007C6C59" w:rsidP="007C6C59">
      <w:pPr>
        <w:spacing w:line="276" w:lineRule="auto"/>
        <w:ind w:firstLine="567"/>
        <w:jc w:val="both"/>
        <w:rPr>
          <w:bCs/>
          <w:sz w:val="24"/>
          <w:szCs w:val="24"/>
        </w:rPr>
      </w:pPr>
    </w:p>
    <w:p w14:paraId="05BDEA31" w14:textId="77777777" w:rsidR="007C6C59" w:rsidRDefault="007C6C59" w:rsidP="007C6C59">
      <w:pPr>
        <w:jc w:val="both"/>
        <w:rPr>
          <w:sz w:val="24"/>
          <w:szCs w:val="24"/>
        </w:rPr>
      </w:pPr>
    </w:p>
    <w:p w14:paraId="61CE1451" w14:textId="77777777" w:rsidR="007C6C59" w:rsidRDefault="007C6C59" w:rsidP="007C6C59">
      <w:pPr>
        <w:jc w:val="both"/>
        <w:rPr>
          <w:i/>
          <w:iCs/>
          <w:sz w:val="24"/>
          <w:szCs w:val="24"/>
        </w:rPr>
      </w:pPr>
      <w:r>
        <w:rPr>
          <w:sz w:val="24"/>
          <w:szCs w:val="24"/>
        </w:rPr>
        <w:t>Pielikumā</w:t>
      </w:r>
      <w:r>
        <w:rPr>
          <w:i/>
          <w:iCs/>
          <w:sz w:val="24"/>
          <w:szCs w:val="24"/>
        </w:rPr>
        <w:t xml:space="preserve">: Sākotnējais rīkojuma satura izvērtējuma materiāls, kas izmantojams kā pamats turpmākās diskusijas organizēšanai ar VARAM </w:t>
      </w:r>
    </w:p>
    <w:p w14:paraId="39EE624F" w14:textId="77777777" w:rsidR="007C6C59" w:rsidRDefault="007C6C59" w:rsidP="007C6C59">
      <w:pPr>
        <w:jc w:val="both"/>
        <w:rPr>
          <w:sz w:val="22"/>
          <w:szCs w:val="22"/>
        </w:rPr>
      </w:pPr>
    </w:p>
    <w:p w14:paraId="093E4659" w14:textId="77777777" w:rsidR="007C6C59" w:rsidRDefault="007C6C59" w:rsidP="007C6C59">
      <w:pPr>
        <w:jc w:val="both"/>
        <w:rPr>
          <w:sz w:val="24"/>
          <w:szCs w:val="24"/>
        </w:rPr>
      </w:pPr>
    </w:p>
    <w:p w14:paraId="351D690C" w14:textId="77777777" w:rsidR="007C6C59" w:rsidRDefault="007C6C59" w:rsidP="007C6C59">
      <w:pPr>
        <w:rPr>
          <w:sz w:val="18"/>
          <w:szCs w:val="18"/>
        </w:rPr>
      </w:pPr>
    </w:p>
    <w:tbl>
      <w:tblPr>
        <w:tblpPr w:leftFromText="180" w:rightFromText="180" w:vertAnchor="text" w:horzAnchor="margin" w:tblpY="38"/>
        <w:tblW w:w="5641" w:type="pct"/>
        <w:tblLook w:val="01E0" w:firstRow="1" w:lastRow="1" w:firstColumn="1" w:lastColumn="1" w:noHBand="0" w:noVBand="0"/>
      </w:tblPr>
      <w:tblGrid>
        <w:gridCol w:w="6636"/>
        <w:gridCol w:w="3917"/>
      </w:tblGrid>
      <w:tr w:rsidR="007C6C59" w14:paraId="489F0D08" w14:textId="77777777" w:rsidTr="007C6C59">
        <w:trPr>
          <w:trHeight w:val="703"/>
        </w:trPr>
        <w:tc>
          <w:tcPr>
            <w:tcW w:w="3144" w:type="pct"/>
          </w:tcPr>
          <w:p w14:paraId="4453CB59" w14:textId="77777777" w:rsidR="007C6C59" w:rsidRDefault="007C6C59">
            <w:pPr>
              <w:rPr>
                <w:sz w:val="24"/>
                <w:szCs w:val="24"/>
              </w:rPr>
            </w:pPr>
            <w:r>
              <w:rPr>
                <w:sz w:val="24"/>
                <w:szCs w:val="24"/>
              </w:rPr>
              <w:t xml:space="preserve">Salacgrīvas novada domes priekšsēdētājs     </w:t>
            </w:r>
          </w:p>
          <w:p w14:paraId="5DACF4F0" w14:textId="77777777" w:rsidR="007C6C59" w:rsidRDefault="007C6C59">
            <w:pPr>
              <w:rPr>
                <w:sz w:val="18"/>
                <w:szCs w:val="18"/>
              </w:rPr>
            </w:pPr>
          </w:p>
          <w:p w14:paraId="4F3D92B3" w14:textId="77777777" w:rsidR="007C6C59" w:rsidRDefault="007C6C59">
            <w:pPr>
              <w:rPr>
                <w:sz w:val="18"/>
                <w:szCs w:val="18"/>
              </w:rPr>
            </w:pPr>
          </w:p>
          <w:p w14:paraId="0831AC01" w14:textId="2D8ADCBE" w:rsidR="007C6C59" w:rsidRDefault="007C6C59">
            <w:pPr>
              <w:ind w:right="-2540"/>
              <w:jc w:val="center"/>
              <w:rPr>
                <w:sz w:val="18"/>
                <w:szCs w:val="18"/>
              </w:rPr>
            </w:pPr>
          </w:p>
        </w:tc>
        <w:tc>
          <w:tcPr>
            <w:tcW w:w="1856" w:type="pct"/>
            <w:hideMark/>
          </w:tcPr>
          <w:p w14:paraId="74A06712" w14:textId="77777777" w:rsidR="007C6C59" w:rsidRPr="007C6C59" w:rsidRDefault="007C6C59">
            <w:pPr>
              <w:pStyle w:val="BodyText"/>
              <w:jc w:val="left"/>
              <w:rPr>
                <w:rFonts w:ascii="Times New Roman" w:hAnsi="Times New Roman" w:cs="Times New Roman"/>
                <w:szCs w:val="24"/>
              </w:rPr>
            </w:pPr>
            <w:r w:rsidRPr="007C6C59">
              <w:rPr>
                <w:rFonts w:ascii="Times New Roman" w:hAnsi="Times New Roman" w:cs="Times New Roman"/>
                <w:szCs w:val="24"/>
              </w:rPr>
              <w:t xml:space="preserve">                  Dagnis Straubergs</w:t>
            </w:r>
          </w:p>
        </w:tc>
      </w:tr>
    </w:tbl>
    <w:p w14:paraId="0A1B76CE" w14:textId="77777777" w:rsidR="00826EFE" w:rsidRPr="00826EFE" w:rsidRDefault="00826EFE" w:rsidP="00826EFE">
      <w:pPr>
        <w:rPr>
          <w:sz w:val="24"/>
          <w:szCs w:val="24"/>
        </w:rPr>
      </w:pPr>
    </w:p>
    <w:p w14:paraId="5AA96286" w14:textId="77777777" w:rsidR="00826EFE" w:rsidRPr="00826EFE" w:rsidRDefault="00826EFE" w:rsidP="00826EFE">
      <w:pPr>
        <w:rPr>
          <w:sz w:val="24"/>
          <w:szCs w:val="24"/>
        </w:rPr>
      </w:pPr>
    </w:p>
    <w:p w14:paraId="151FA3BA" w14:textId="77777777" w:rsidR="00826EFE" w:rsidRPr="00826EFE" w:rsidRDefault="00826EFE" w:rsidP="00826EFE">
      <w:pPr>
        <w:rPr>
          <w:sz w:val="24"/>
          <w:szCs w:val="24"/>
        </w:rPr>
      </w:pPr>
    </w:p>
    <w:p w14:paraId="79D8D98E" w14:textId="77777777" w:rsidR="00826EFE" w:rsidRPr="00826EFE" w:rsidRDefault="00826EFE" w:rsidP="00826EFE">
      <w:pPr>
        <w:jc w:val="center"/>
        <w:rPr>
          <w:i/>
          <w:iCs/>
          <w:sz w:val="24"/>
          <w:szCs w:val="24"/>
        </w:rPr>
      </w:pPr>
      <w:r w:rsidRPr="00826EFE">
        <w:rPr>
          <w:i/>
          <w:iCs/>
          <w:sz w:val="24"/>
          <w:szCs w:val="24"/>
        </w:rPr>
        <w:t>Dokuments parakstīts ar drošu elektronisko parakstu un satur laika zīmogu</w:t>
      </w:r>
    </w:p>
    <w:p w14:paraId="0F1F0544" w14:textId="77777777" w:rsidR="00826EFE" w:rsidRPr="00826EFE" w:rsidRDefault="00826EFE" w:rsidP="00826EFE">
      <w:pPr>
        <w:rPr>
          <w:sz w:val="24"/>
          <w:szCs w:val="24"/>
        </w:rPr>
      </w:pPr>
    </w:p>
    <w:p w14:paraId="3419ABBD" w14:textId="77777777" w:rsidR="00826EFE" w:rsidRPr="00FC4E8B" w:rsidRDefault="00826EFE" w:rsidP="00826EFE"/>
    <w:p w14:paraId="6664AF21" w14:textId="01BC6A01" w:rsidR="00826EFE" w:rsidRPr="00FC4E8B" w:rsidRDefault="001D7B0F" w:rsidP="00826EFE">
      <w:r>
        <w:t>Some-Tiesnese Liene</w:t>
      </w:r>
    </w:p>
    <w:p w14:paraId="537AA2B9" w14:textId="22C168C7" w:rsidR="005A04E3" w:rsidRPr="00FC4E8B" w:rsidRDefault="005A04E3" w:rsidP="00826EFE"/>
    <w:p w14:paraId="70DD5E66" w14:textId="2FF3FAC4" w:rsidR="005A04E3" w:rsidRPr="00FC4E8B" w:rsidRDefault="001D7B0F" w:rsidP="00826EFE">
      <w:r>
        <w:t>liene.some-tiesnese@salacgriva.lv</w:t>
      </w:r>
    </w:p>
    <w:p w14:paraId="5B3A23ED" w14:textId="77777777" w:rsidR="00826EFE" w:rsidRDefault="00826EFE" w:rsidP="00826EFE">
      <w:pPr>
        <w:rPr>
          <w:sz w:val="24"/>
          <w:szCs w:val="24"/>
        </w:rPr>
      </w:pPr>
    </w:p>
    <w:p w14:paraId="608116BC" w14:textId="77777777" w:rsidR="00826EFE" w:rsidRPr="00D12C4C" w:rsidRDefault="00826EFE" w:rsidP="00826EFE">
      <w:pPr>
        <w:tabs>
          <w:tab w:val="left" w:pos="6015"/>
        </w:tabs>
        <w:rPr>
          <w:sz w:val="24"/>
          <w:szCs w:val="24"/>
        </w:rPr>
      </w:pPr>
      <w:r>
        <w:rPr>
          <w:sz w:val="24"/>
          <w:szCs w:val="24"/>
        </w:rPr>
        <w:tab/>
      </w:r>
    </w:p>
    <w:p w14:paraId="5987DC5B" w14:textId="77777777" w:rsidR="006D4C4C" w:rsidRDefault="006D4C4C"/>
    <w:sectPr w:rsidR="006D4C4C" w:rsidSect="002A75B5">
      <w:headerReference w:type="default" r:id="rId8"/>
      <w:pgSz w:w="11906" w:h="16838"/>
      <w:pgMar w:top="426" w:right="851"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4AA02" w14:textId="77777777" w:rsidR="00C20C26" w:rsidRDefault="00C20C26">
      <w:r>
        <w:separator/>
      </w:r>
    </w:p>
  </w:endnote>
  <w:endnote w:type="continuationSeparator" w:id="0">
    <w:p w14:paraId="593D295B" w14:textId="77777777" w:rsidR="00C20C26" w:rsidRDefault="00C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8A0D5" w14:textId="77777777" w:rsidR="00C20C26" w:rsidRDefault="00C20C26">
      <w:r>
        <w:separator/>
      </w:r>
    </w:p>
  </w:footnote>
  <w:footnote w:type="continuationSeparator" w:id="0">
    <w:p w14:paraId="028F1721" w14:textId="77777777" w:rsidR="00C20C26" w:rsidRDefault="00C2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209C1" w14:textId="77777777" w:rsidR="005702B4" w:rsidRPr="00D80254" w:rsidRDefault="00826EFE" w:rsidP="004C5D77">
    <w:pPr>
      <w:pStyle w:val="Header"/>
      <w:tabs>
        <w:tab w:val="clear" w:pos="4153"/>
        <w:tab w:val="clear" w:pos="8306"/>
        <w:tab w:val="left" w:pos="7938"/>
      </w:tabs>
      <w:rPr>
        <w:noProof/>
      </w:rPr>
    </w:pPr>
    <w:r>
      <w:tab/>
    </w:r>
  </w:p>
  <w:p w14:paraId="0D4D1AB1" w14:textId="77777777" w:rsidR="005702B4" w:rsidRDefault="00C20C26" w:rsidP="005702B4">
    <w:pPr>
      <w:pStyle w:val="Header"/>
      <w:tabs>
        <w:tab w:val="clear" w:pos="4153"/>
        <w:tab w:val="clear" w:pos="8306"/>
        <w:tab w:val="left" w:pos="7938"/>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FE"/>
    <w:rsid w:val="0016442C"/>
    <w:rsid w:val="001D7B0F"/>
    <w:rsid w:val="00376ED9"/>
    <w:rsid w:val="00563B27"/>
    <w:rsid w:val="005A04E3"/>
    <w:rsid w:val="006D4C4C"/>
    <w:rsid w:val="007C6C59"/>
    <w:rsid w:val="00826EFE"/>
    <w:rsid w:val="00A13A7C"/>
    <w:rsid w:val="00A52617"/>
    <w:rsid w:val="00C20C26"/>
    <w:rsid w:val="00D0237A"/>
    <w:rsid w:val="00EE1E4D"/>
    <w:rsid w:val="00FC4E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664B"/>
  <w15:chartTrackingRefBased/>
  <w15:docId w15:val="{17DA5218-3060-42D2-BE78-25E5E631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FE"/>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6EFE"/>
    <w:rPr>
      <w:color w:val="0000FF"/>
      <w:u w:val="single"/>
    </w:rPr>
  </w:style>
  <w:style w:type="paragraph" w:styleId="Header">
    <w:name w:val="header"/>
    <w:basedOn w:val="Normal"/>
    <w:link w:val="HeaderChar"/>
    <w:rsid w:val="00826EFE"/>
    <w:pPr>
      <w:tabs>
        <w:tab w:val="center" w:pos="4153"/>
        <w:tab w:val="right" w:pos="8306"/>
      </w:tabs>
    </w:pPr>
  </w:style>
  <w:style w:type="character" w:customStyle="1" w:styleId="HeaderChar">
    <w:name w:val="Header Char"/>
    <w:basedOn w:val="DefaultParagraphFont"/>
    <w:link w:val="Header"/>
    <w:rsid w:val="00826EFE"/>
    <w:rPr>
      <w:rFonts w:ascii="Times New Roman" w:eastAsia="Times New Roman" w:hAnsi="Times New Roman" w:cs="Times New Roman"/>
      <w:sz w:val="20"/>
      <w:szCs w:val="20"/>
      <w:lang w:eastAsia="lv-LV"/>
    </w:rPr>
  </w:style>
  <w:style w:type="character" w:customStyle="1" w:styleId="BodyTextChar">
    <w:name w:val="Body Text Char"/>
    <w:aliases w:val="tabulas_labi Char"/>
    <w:basedOn w:val="DefaultParagraphFont"/>
    <w:link w:val="BodyText"/>
    <w:semiHidden/>
    <w:locked/>
    <w:rsid w:val="007C6C59"/>
    <w:rPr>
      <w:sz w:val="24"/>
    </w:rPr>
  </w:style>
  <w:style w:type="paragraph" w:styleId="BodyText">
    <w:name w:val="Body Text"/>
    <w:aliases w:val="tabulas_labi"/>
    <w:basedOn w:val="Normal"/>
    <w:link w:val="BodyTextChar"/>
    <w:semiHidden/>
    <w:unhideWhenUsed/>
    <w:rsid w:val="007C6C59"/>
    <w:pPr>
      <w:jc w:val="right"/>
    </w:pPr>
    <w:rPr>
      <w:rFonts w:asciiTheme="minorHAnsi" w:eastAsiaTheme="minorHAnsi" w:hAnsiTheme="minorHAnsi" w:cstheme="minorBidi"/>
      <w:sz w:val="24"/>
      <w:szCs w:val="22"/>
      <w:lang w:eastAsia="en-US"/>
    </w:rPr>
  </w:style>
  <w:style w:type="character" w:customStyle="1" w:styleId="BodyTextChar1">
    <w:name w:val="Body Text Char1"/>
    <w:basedOn w:val="DefaultParagraphFont"/>
    <w:uiPriority w:val="99"/>
    <w:semiHidden/>
    <w:rsid w:val="007C6C59"/>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539988">
      <w:bodyDiv w:val="1"/>
      <w:marLeft w:val="0"/>
      <w:marRight w:val="0"/>
      <w:marTop w:val="0"/>
      <w:marBottom w:val="0"/>
      <w:divBdr>
        <w:top w:val="none" w:sz="0" w:space="0" w:color="auto"/>
        <w:left w:val="none" w:sz="0" w:space="0" w:color="auto"/>
        <w:bottom w:val="none" w:sz="0" w:space="0" w:color="auto"/>
        <w:right w:val="none" w:sz="0" w:space="0" w:color="auto"/>
      </w:divBdr>
    </w:div>
    <w:div w:id="6842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ome@salacgriv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2109</Words>
  <Characters>1203</Characters>
  <Application>Microsoft Office Word</Application>
  <DocSecurity>0</DocSecurity>
  <Lines>10</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Arija Miksa</dc:creator>
  <cp:keywords/>
  <dc:description/>
  <cp:lastModifiedBy>Gunta Klismeta</cp:lastModifiedBy>
  <cp:revision>2</cp:revision>
  <dcterms:created xsi:type="dcterms:W3CDTF">2020-06-18T08:39:00Z</dcterms:created>
  <dcterms:modified xsi:type="dcterms:W3CDTF">2020-06-18T08:39:00Z</dcterms:modified>
</cp:coreProperties>
</file>